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29FAC" w14:textId="6DC904C9" w:rsidR="00F23F74" w:rsidRDefault="009D14D6" w:rsidP="009D14D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DE4838">
        <w:rPr>
          <w:rFonts w:ascii="Times New Roman" w:eastAsia="Times New Roman" w:hAnsi="Times New Roman" w:cs="Times New Roman"/>
          <w:b/>
          <w:bCs/>
          <w:sz w:val="40"/>
          <w:szCs w:val="40"/>
        </w:rPr>
        <w:t>Empowering Executives as They Transition from Peak Career to Peak Retirement</w:t>
      </w:r>
    </w:p>
    <w:p w14:paraId="53C9751A" w14:textId="3A1C1F6A" w:rsidR="00BD3C9A" w:rsidRPr="00F23F74" w:rsidRDefault="00BD3C9A" w:rsidP="009D14D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Author: Jake Weatherford CFP, MBA</w:t>
      </w:r>
    </w:p>
    <w:p w14:paraId="134A9E23" w14:textId="1A5D12F7" w:rsidR="009D14D6" w:rsidRPr="009D14D6" w:rsidRDefault="00DE4838" w:rsidP="009D14D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Executive Summary</w:t>
      </w:r>
      <w:r w:rsidR="009D14D6" w:rsidRPr="009D14D6">
        <w:rPr>
          <w:rFonts w:ascii="Times New Roman" w:eastAsia="Times New Roman" w:hAnsi="Times New Roman" w:cs="Times New Roman"/>
          <w:b/>
          <w:bCs/>
          <w:sz w:val="27"/>
          <w:szCs w:val="27"/>
        </w:rPr>
        <w:t>: Navigating the Executive Transition with Precision</w:t>
      </w:r>
    </w:p>
    <w:p w14:paraId="68248B6E" w14:textId="77777777" w:rsidR="00C9316D" w:rsidRPr="00C9316D" w:rsidRDefault="00C9316D" w:rsidP="00C9316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9316D">
        <w:rPr>
          <w:rFonts w:ascii="Times New Roman" w:eastAsia="Times New Roman" w:hAnsi="Times New Roman" w:cs="Times New Roman"/>
        </w:rPr>
        <w:t>At the highest levels of leadership, retirement is not merely an exit. It's a strategic inflection point. For executives who have built careers on foresight, decisiveness, and vision, the transition from active leadership to life beyond the C-suite requires the same precision they once applied to major corporate transformations.</w:t>
      </w:r>
    </w:p>
    <w:p w14:paraId="38E9EF0B" w14:textId="4DBF933A" w:rsidR="00DE4838" w:rsidRPr="00C9316D" w:rsidRDefault="00C9316D" w:rsidP="00C9316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9316D">
        <w:rPr>
          <w:rFonts w:ascii="Times New Roman" w:eastAsia="Times New Roman" w:hAnsi="Times New Roman" w:cs="Times New Roman"/>
        </w:rPr>
        <w:t>This paper explores how to architect a seamless shift from peak career to peak retirement—preserving influence, legacy, and fulfillment without compromising strategic clarity or personal direction.</w:t>
      </w:r>
    </w:p>
    <w:p w14:paraId="7EBDBF01" w14:textId="7FAD5D87" w:rsidR="009D14D6" w:rsidRPr="009D14D6" w:rsidRDefault="009D14D6" w:rsidP="009D14D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D14D6">
        <w:rPr>
          <w:rFonts w:ascii="Times New Roman" w:eastAsia="Times New Roman" w:hAnsi="Times New Roman" w:cs="Times New Roman"/>
          <w:b/>
          <w:bCs/>
          <w:sz w:val="27"/>
          <w:szCs w:val="27"/>
        </w:rPr>
        <w:t>1. Redefining Influence: Sustaining Strategic Impact Beyond the C-Suite</w:t>
      </w:r>
    </w:p>
    <w:p w14:paraId="08E67DC3" w14:textId="77777777" w:rsidR="00C9316D" w:rsidRDefault="00C9316D" w:rsidP="00C9316D">
      <w:pPr>
        <w:pStyle w:val="NormalWeb"/>
      </w:pPr>
      <w:r>
        <w:t>Stepping down does not mean stepping away. Executives must reframe retirement not as withdrawal, but as realignment of influence.</w:t>
      </w:r>
    </w:p>
    <w:p w14:paraId="0D73614F" w14:textId="77777777" w:rsidR="00C9316D" w:rsidRDefault="00C9316D" w:rsidP="00C9316D">
      <w:pPr>
        <w:pStyle w:val="NormalWeb"/>
      </w:pPr>
      <w:r>
        <w:rPr>
          <w:rStyle w:val="Strong"/>
        </w:rPr>
        <w:t>Channels of Continued Impact:</w:t>
      </w:r>
    </w:p>
    <w:p w14:paraId="1E68C168" w14:textId="77777777" w:rsidR="00C9316D" w:rsidRDefault="00C9316D" w:rsidP="00C9316D">
      <w:pPr>
        <w:pStyle w:val="NormalWeb"/>
        <w:numPr>
          <w:ilvl w:val="0"/>
          <w:numId w:val="14"/>
        </w:numPr>
      </w:pPr>
      <w:r>
        <w:rPr>
          <w:rStyle w:val="Strong"/>
        </w:rPr>
        <w:t>Advisory and Board Roles</w:t>
      </w:r>
      <w:r>
        <w:t>: Governance positions in industries where insight remains sharp.</w:t>
      </w:r>
    </w:p>
    <w:p w14:paraId="33D084FB" w14:textId="77777777" w:rsidR="00C9316D" w:rsidRDefault="00C9316D" w:rsidP="00C9316D">
      <w:pPr>
        <w:pStyle w:val="NormalWeb"/>
        <w:numPr>
          <w:ilvl w:val="0"/>
          <w:numId w:val="14"/>
        </w:numPr>
      </w:pPr>
      <w:r>
        <w:rPr>
          <w:rStyle w:val="Strong"/>
        </w:rPr>
        <w:t>Mentorship and Thought Leadership</w:t>
      </w:r>
      <w:r>
        <w:t>: Passing on operational wisdom through selective mentorship or high-level consulting.</w:t>
      </w:r>
    </w:p>
    <w:p w14:paraId="618A4EA0" w14:textId="77777777" w:rsidR="00C9316D" w:rsidRDefault="00C9316D" w:rsidP="00C9316D">
      <w:pPr>
        <w:pStyle w:val="NormalWeb"/>
        <w:numPr>
          <w:ilvl w:val="0"/>
          <w:numId w:val="14"/>
        </w:numPr>
      </w:pPr>
      <w:r>
        <w:rPr>
          <w:rStyle w:val="Strong"/>
        </w:rPr>
        <w:t>Purpose-Driven Ventures</w:t>
      </w:r>
      <w:r>
        <w:t>: Channeling capital and time toward philanthropy, civic engagement, or venture investment.</w:t>
      </w:r>
    </w:p>
    <w:p w14:paraId="65C86404" w14:textId="77777777" w:rsidR="00C9316D" w:rsidRDefault="00C9316D" w:rsidP="00C9316D">
      <w:pPr>
        <w:pStyle w:val="NormalWeb"/>
      </w:pPr>
      <w:r>
        <w:t>This next chapter is about staying engaged where impact still matters—with a blueprint that reflects values, not just valuations.</w:t>
      </w:r>
      <w:r>
        <w:t xml:space="preserve"> </w:t>
      </w:r>
    </w:p>
    <w:p w14:paraId="591ECFDF" w14:textId="7FDF15E0" w:rsidR="006D5C2F" w:rsidRPr="00C9316D" w:rsidRDefault="001E2BCB" w:rsidP="00F23F74">
      <w:pPr>
        <w:pStyle w:val="NormalWeb"/>
        <w:jc w:val="center"/>
      </w:pPr>
      <w:r w:rsidRPr="001E2BCB">
        <w:rPr>
          <w:noProof/>
        </w:rPr>
        <w:lastRenderedPageBreak/>
        <w:drawing>
          <wp:inline distT="0" distB="0" distL="0" distR="0" wp14:anchorId="694AEC47" wp14:editId="4C5D4F79">
            <wp:extent cx="2757160" cy="2912493"/>
            <wp:effectExtent l="0" t="0" r="0" b="0"/>
            <wp:docPr id="8" name="Picture 8" descr="A diagram of a company's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iagram of a company's company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7160" cy="291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3A6E" w14:textId="3355DBD4" w:rsidR="009D14D6" w:rsidRPr="009D14D6" w:rsidRDefault="00C9316D" w:rsidP="009D14D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2</w:t>
      </w:r>
      <w:r w:rsidR="009D14D6" w:rsidRPr="009D14D6">
        <w:rPr>
          <w:rFonts w:ascii="Times New Roman" w:eastAsia="Times New Roman" w:hAnsi="Times New Roman" w:cs="Times New Roman"/>
          <w:b/>
          <w:bCs/>
          <w:sz w:val="27"/>
          <w:szCs w:val="27"/>
        </w:rPr>
        <w:t>. Portfolio Optimization: Aligning Wealth Strategy with Vision</w:t>
      </w:r>
    </w:p>
    <w:p w14:paraId="6E483D8A" w14:textId="77777777" w:rsidR="009D14D6" w:rsidRPr="009D14D6" w:rsidRDefault="009D14D6" w:rsidP="009D14D6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9D14D6">
        <w:rPr>
          <w:rFonts w:ascii="Times New Roman" w:eastAsia="Times New Roman" w:hAnsi="Times New Roman" w:cs="Times New Roman"/>
        </w:rPr>
        <w:t>Executives are not passive investors; they require a wealth strategy that reflects their analytical mindset, forward-thinking approach, and commitment to long-term value creation.</w:t>
      </w:r>
    </w:p>
    <w:p w14:paraId="254B62B2" w14:textId="77777777" w:rsidR="00C9316D" w:rsidRDefault="00C9316D" w:rsidP="00C9316D">
      <w:pPr>
        <w:pStyle w:val="NormalWeb"/>
      </w:pPr>
      <w:r>
        <w:rPr>
          <w:rStyle w:val="Strong"/>
        </w:rPr>
        <w:t>Key Strategic Levers:</w:t>
      </w:r>
    </w:p>
    <w:p w14:paraId="58160C0C" w14:textId="77777777" w:rsidR="00C9316D" w:rsidRDefault="00C9316D" w:rsidP="00C9316D">
      <w:pPr>
        <w:pStyle w:val="NormalWeb"/>
        <w:numPr>
          <w:ilvl w:val="0"/>
          <w:numId w:val="15"/>
        </w:numPr>
      </w:pPr>
      <w:r>
        <w:rPr>
          <w:rStyle w:val="Strong"/>
        </w:rPr>
        <w:t>Asset Allocation</w:t>
      </w:r>
      <w:r>
        <w:t>: Balancing growth and liquidity through strategic diversification.</w:t>
      </w:r>
    </w:p>
    <w:p w14:paraId="60D909D7" w14:textId="77777777" w:rsidR="00C9316D" w:rsidRDefault="00C9316D" w:rsidP="00C9316D">
      <w:pPr>
        <w:pStyle w:val="NormalWeb"/>
        <w:numPr>
          <w:ilvl w:val="0"/>
          <w:numId w:val="15"/>
        </w:numPr>
      </w:pPr>
      <w:r>
        <w:rPr>
          <w:rStyle w:val="Strong"/>
        </w:rPr>
        <w:t>Public &amp; Private Markets</w:t>
      </w:r>
      <w:r>
        <w:t>: Incorporating private equity, venture capital, and impact investing aligned with personal vision.</w:t>
      </w:r>
    </w:p>
    <w:p w14:paraId="015B6303" w14:textId="1EE69C62" w:rsidR="00C9316D" w:rsidRDefault="00C9316D" w:rsidP="00C9316D">
      <w:pPr>
        <w:pStyle w:val="NormalWeb"/>
        <w:numPr>
          <w:ilvl w:val="0"/>
          <w:numId w:val="15"/>
        </w:numPr>
      </w:pPr>
      <w:r>
        <w:rPr>
          <w:rStyle w:val="Strong"/>
        </w:rPr>
        <w:t>Cash Flow Design</w:t>
      </w:r>
      <w:r>
        <w:t xml:space="preserve">: Engineering income streams that support agility while remaining </w:t>
      </w:r>
      <w:proofErr w:type="gramStart"/>
      <w:r>
        <w:t>tax-efficient</w:t>
      </w:r>
      <w:proofErr w:type="gramEnd"/>
      <w:r>
        <w:t>.</w:t>
      </w:r>
    </w:p>
    <w:p w14:paraId="100A30CC" w14:textId="0C8668AF" w:rsidR="00332E37" w:rsidRDefault="00332E37" w:rsidP="00C9316D">
      <w:pPr>
        <w:pStyle w:val="NormalWeb"/>
        <w:numPr>
          <w:ilvl w:val="0"/>
          <w:numId w:val="15"/>
        </w:numPr>
      </w:pPr>
      <w:r>
        <w:rPr>
          <w:rStyle w:val="Strong"/>
        </w:rPr>
        <w:t>Concentration risk assessment</w:t>
      </w:r>
      <w:r w:rsidRPr="00332E37">
        <w:t>:</w:t>
      </w:r>
      <w:r>
        <w:t xml:space="preserve"> Many executives have large concentrations of stock options which should be evaluated as a part of the holistic portfolio. </w:t>
      </w:r>
    </w:p>
    <w:p w14:paraId="29F21EC4" w14:textId="77777777" w:rsidR="00C9316D" w:rsidRDefault="00C9316D" w:rsidP="00C9316D">
      <w:pPr>
        <w:pStyle w:val="NormalWeb"/>
      </w:pPr>
      <w:r>
        <w:t>The goal: Ensure capital performs with the same efficiency and intentionality as the executive career it underwrites.</w:t>
      </w:r>
    </w:p>
    <w:p w14:paraId="3DC92FBF" w14:textId="71936A82" w:rsidR="006D5C2F" w:rsidRPr="00C9316D" w:rsidRDefault="001E2BCB" w:rsidP="00F23F7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1E2BCB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60958E7" wp14:editId="38724741">
            <wp:extent cx="2670048" cy="2743200"/>
            <wp:effectExtent l="0" t="0" r="0" b="0"/>
            <wp:docPr id="10" name="Picture 10" descr="A diagram of a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iagram of a pie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EB4C" w14:textId="300256DD" w:rsidR="009D14D6" w:rsidRPr="009D14D6" w:rsidRDefault="00C9316D" w:rsidP="009D14D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3</w:t>
      </w:r>
      <w:r w:rsidR="009D14D6" w:rsidRPr="009D14D6">
        <w:rPr>
          <w:rFonts w:ascii="Times New Roman" w:eastAsia="Times New Roman" w:hAnsi="Times New Roman" w:cs="Times New Roman"/>
          <w:b/>
          <w:bCs/>
          <w:sz w:val="27"/>
          <w:szCs w:val="27"/>
        </w:rPr>
        <w:t>. Legacy and Estate Structuring: Beyond Wealth Transfer</w:t>
      </w:r>
    </w:p>
    <w:p w14:paraId="1DFF8860" w14:textId="65D99093" w:rsidR="00C9316D" w:rsidRPr="003B3C32" w:rsidRDefault="00C9316D" w:rsidP="00C9316D">
      <w:pPr>
        <w:pStyle w:val="NormalWeb"/>
        <w:rPr>
          <w:rStyle w:val="Strong"/>
          <w:b w:val="0"/>
          <w:bCs w:val="0"/>
        </w:rPr>
      </w:pPr>
      <w:r>
        <w:t>Legacy is not just about inheritance—it’s about intention. The objective is to perpetuate influence, values, and decision-making frameworks across generations.</w:t>
      </w:r>
    </w:p>
    <w:p w14:paraId="616B1766" w14:textId="09C32217" w:rsidR="00C9316D" w:rsidRDefault="00C9316D" w:rsidP="00C9316D">
      <w:pPr>
        <w:pStyle w:val="NormalWeb"/>
      </w:pPr>
      <w:r>
        <w:rPr>
          <w:rStyle w:val="Strong"/>
        </w:rPr>
        <w:t>Strategic Legacy Tools:</w:t>
      </w:r>
    </w:p>
    <w:p w14:paraId="646D7FB1" w14:textId="77777777" w:rsidR="00C9316D" w:rsidRDefault="00C9316D" w:rsidP="00C9316D">
      <w:pPr>
        <w:pStyle w:val="NormalWeb"/>
        <w:numPr>
          <w:ilvl w:val="0"/>
          <w:numId w:val="16"/>
        </w:numPr>
      </w:pPr>
      <w:r>
        <w:rPr>
          <w:rStyle w:val="Strong"/>
        </w:rPr>
        <w:t>Multi-Generational Structures</w:t>
      </w:r>
      <w:r>
        <w:t>: Trusts, governance frameworks, and family office principles.</w:t>
      </w:r>
    </w:p>
    <w:p w14:paraId="57C888C2" w14:textId="77777777" w:rsidR="00C9316D" w:rsidRDefault="00C9316D" w:rsidP="00C9316D">
      <w:pPr>
        <w:pStyle w:val="NormalWeb"/>
        <w:numPr>
          <w:ilvl w:val="0"/>
          <w:numId w:val="16"/>
        </w:numPr>
      </w:pPr>
      <w:r>
        <w:rPr>
          <w:rStyle w:val="Strong"/>
        </w:rPr>
        <w:t>Values-Based Philanthropy</w:t>
      </w:r>
      <w:r>
        <w:t>: Charitable vehicles that express both financial prudence and personal conviction.</w:t>
      </w:r>
    </w:p>
    <w:p w14:paraId="4333640D" w14:textId="77777777" w:rsidR="00C9316D" w:rsidRDefault="00C9316D" w:rsidP="00C9316D">
      <w:pPr>
        <w:pStyle w:val="NormalWeb"/>
        <w:numPr>
          <w:ilvl w:val="0"/>
          <w:numId w:val="16"/>
        </w:numPr>
      </w:pPr>
      <w:r>
        <w:rPr>
          <w:rStyle w:val="Strong"/>
        </w:rPr>
        <w:t>Succession Engineering</w:t>
      </w:r>
      <w:r>
        <w:t>: Clear pathways for business holdings and private investments.</w:t>
      </w:r>
    </w:p>
    <w:p w14:paraId="25921DF1" w14:textId="77777777" w:rsidR="00C9316D" w:rsidRDefault="00C9316D" w:rsidP="00C9316D">
      <w:pPr>
        <w:pStyle w:val="NormalWeb"/>
      </w:pPr>
      <w:r>
        <w:t>It’s not about passing the baton; it’s about embedding vision in systems that endure.</w:t>
      </w:r>
    </w:p>
    <w:p w14:paraId="3A65F392" w14:textId="685BEE6B" w:rsidR="006D5C2F" w:rsidRPr="00C9316D" w:rsidRDefault="00AB6657" w:rsidP="00F23F7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AB6657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2B2EA231" wp14:editId="73B95835">
            <wp:extent cx="2756721" cy="2784567"/>
            <wp:effectExtent l="0" t="0" r="0" b="0"/>
            <wp:docPr id="11" name="Picture 11" descr="A diagram of a multi-generation legacy pla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diagram of a multi-generation legacy plann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6721" cy="278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E9AE" w14:textId="291653A6" w:rsidR="009D14D6" w:rsidRPr="009D14D6" w:rsidRDefault="00C9316D" w:rsidP="009D14D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4</w:t>
      </w:r>
      <w:r w:rsidR="009D14D6" w:rsidRPr="009D14D6">
        <w:rPr>
          <w:rFonts w:ascii="Times New Roman" w:eastAsia="Times New Roman" w:hAnsi="Times New Roman" w:cs="Times New Roman"/>
          <w:b/>
          <w:bCs/>
          <w:sz w:val="27"/>
          <w:szCs w:val="27"/>
        </w:rPr>
        <w:t>. Beyond Financial Planning: A Holistic Partnership</w:t>
      </w:r>
    </w:p>
    <w:p w14:paraId="1957F84F" w14:textId="797C1AD8" w:rsidR="00C9316D" w:rsidRDefault="00C9316D" w:rsidP="00C9316D">
      <w:pPr>
        <w:pStyle w:val="NormalWeb"/>
      </w:pPr>
      <w:r>
        <w:t xml:space="preserve">Executives require </w:t>
      </w:r>
      <w:r w:rsidR="003B3C32">
        <w:t xml:space="preserve">strategic </w:t>
      </w:r>
      <w:r>
        <w:t>partners who understand complexity, anticipate inflection points, and offer solutions that transcend investment products.</w:t>
      </w:r>
    </w:p>
    <w:p w14:paraId="5EDDAD7D" w14:textId="77777777" w:rsidR="00C9316D" w:rsidRDefault="00C9316D" w:rsidP="00C9316D">
      <w:pPr>
        <w:pStyle w:val="NormalWeb"/>
      </w:pPr>
      <w:r>
        <w:rPr>
          <w:rStyle w:val="Strong"/>
        </w:rPr>
        <w:t>Strategic Services That Matter:</w:t>
      </w:r>
    </w:p>
    <w:p w14:paraId="7955767D" w14:textId="77777777" w:rsidR="00C9316D" w:rsidRDefault="00C9316D" w:rsidP="00C9316D">
      <w:pPr>
        <w:pStyle w:val="NormalWeb"/>
        <w:numPr>
          <w:ilvl w:val="0"/>
          <w:numId w:val="17"/>
        </w:numPr>
      </w:pPr>
      <w:r>
        <w:rPr>
          <w:rStyle w:val="Strong"/>
        </w:rPr>
        <w:t>Business Succession Design</w:t>
      </w:r>
      <w:r>
        <w:t>: Exit planning that protects equity and organizational integrity.</w:t>
      </w:r>
    </w:p>
    <w:p w14:paraId="5EAF90B2" w14:textId="77777777" w:rsidR="00C9316D" w:rsidRDefault="00C9316D" w:rsidP="00C9316D">
      <w:pPr>
        <w:pStyle w:val="NormalWeb"/>
        <w:numPr>
          <w:ilvl w:val="0"/>
          <w:numId w:val="17"/>
        </w:numPr>
      </w:pPr>
      <w:r>
        <w:rPr>
          <w:rStyle w:val="Strong"/>
        </w:rPr>
        <w:t>Curated Market Intelligence</w:t>
      </w:r>
      <w:r>
        <w:t>: Insights tailored to global shifts, regulatory dynamics, and opportunity cycles.</w:t>
      </w:r>
    </w:p>
    <w:p w14:paraId="104EDD1A" w14:textId="77777777" w:rsidR="00C9316D" w:rsidRDefault="00C9316D" w:rsidP="00C9316D">
      <w:pPr>
        <w:pStyle w:val="NormalWeb"/>
        <w:numPr>
          <w:ilvl w:val="0"/>
          <w:numId w:val="17"/>
        </w:numPr>
      </w:pPr>
      <w:r>
        <w:rPr>
          <w:rStyle w:val="Strong"/>
        </w:rPr>
        <w:t>Executive Risk Architecture</w:t>
      </w:r>
      <w:r>
        <w:t>: Concentrated stock mitigation, deferred comp optimization, and scenario modeling.</w:t>
      </w:r>
    </w:p>
    <w:p w14:paraId="3C84D928" w14:textId="77777777" w:rsidR="00C9316D" w:rsidRDefault="00C9316D" w:rsidP="00C9316D">
      <w:pPr>
        <w:pStyle w:val="NormalWeb"/>
      </w:pPr>
      <w:r>
        <w:t>Financial strategy must evolve into a full-spectrum advisory model that aligns with the demands of executive decision-making.</w:t>
      </w:r>
    </w:p>
    <w:p w14:paraId="4CC34A49" w14:textId="291EC3B6" w:rsidR="006D5C2F" w:rsidRPr="00C9316D" w:rsidRDefault="006D5C2F" w:rsidP="00F23F7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</w:p>
    <w:p w14:paraId="0F4E2418" w14:textId="3B7D0639" w:rsidR="009D14D6" w:rsidRPr="009D14D6" w:rsidRDefault="00C9316D" w:rsidP="009D14D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5</w:t>
      </w:r>
      <w:r w:rsidR="009D14D6" w:rsidRPr="009D14D6">
        <w:rPr>
          <w:rFonts w:ascii="Times New Roman" w:eastAsia="Times New Roman" w:hAnsi="Times New Roman" w:cs="Times New Roman"/>
          <w:b/>
          <w:bCs/>
          <w:sz w:val="27"/>
          <w:szCs w:val="27"/>
        </w:rPr>
        <w:t>. Designing a Retirement that Optimizes Time, Wealth, and Fulfillment</w:t>
      </w:r>
    </w:p>
    <w:p w14:paraId="2DA2E004" w14:textId="77777777" w:rsidR="00111D35" w:rsidRDefault="00111D35" w:rsidP="00111D35">
      <w:pPr>
        <w:pStyle w:val="NormalWeb"/>
      </w:pPr>
      <w:r>
        <w:t>Retirement is a resource reallocation exercise: of time, capital, and attention. Executives should approach it as a redesign of how they engage with the world.</w:t>
      </w:r>
    </w:p>
    <w:p w14:paraId="5C78C701" w14:textId="77777777" w:rsidR="00111D35" w:rsidRDefault="00111D35" w:rsidP="00111D35">
      <w:pPr>
        <w:pStyle w:val="NormalWeb"/>
      </w:pPr>
      <w:r>
        <w:rPr>
          <w:rStyle w:val="Strong"/>
        </w:rPr>
        <w:t>Pillars of Strategic Life Planning:</w:t>
      </w:r>
    </w:p>
    <w:p w14:paraId="20774B21" w14:textId="77777777" w:rsidR="00111D35" w:rsidRDefault="00111D35" w:rsidP="00111D35">
      <w:pPr>
        <w:pStyle w:val="NormalWeb"/>
        <w:numPr>
          <w:ilvl w:val="0"/>
          <w:numId w:val="18"/>
        </w:numPr>
      </w:pPr>
      <w:r>
        <w:rPr>
          <w:rStyle w:val="Strong"/>
        </w:rPr>
        <w:t>Freedom to Focus</w:t>
      </w:r>
      <w:r>
        <w:t>: Enabling personal pursuits and passion projects with intentional capital design.</w:t>
      </w:r>
    </w:p>
    <w:p w14:paraId="1B89FBB2" w14:textId="77777777" w:rsidR="00111D35" w:rsidRDefault="00111D35" w:rsidP="00111D35">
      <w:pPr>
        <w:pStyle w:val="NormalWeb"/>
        <w:numPr>
          <w:ilvl w:val="0"/>
          <w:numId w:val="18"/>
        </w:numPr>
      </w:pPr>
      <w:r>
        <w:rPr>
          <w:rStyle w:val="Strong"/>
        </w:rPr>
        <w:lastRenderedPageBreak/>
        <w:t>Professional Optionality</w:t>
      </w:r>
      <w:r>
        <w:t>: Structuring opportunities to stay involved through boards, ventures, or strategic counsel.</w:t>
      </w:r>
    </w:p>
    <w:p w14:paraId="178992D0" w14:textId="77777777" w:rsidR="00111D35" w:rsidRDefault="00111D35" w:rsidP="00111D35">
      <w:pPr>
        <w:pStyle w:val="NormalWeb"/>
        <w:numPr>
          <w:ilvl w:val="0"/>
          <w:numId w:val="18"/>
        </w:numPr>
      </w:pPr>
      <w:r>
        <w:rPr>
          <w:rStyle w:val="Strong"/>
        </w:rPr>
        <w:t>Intellectual Engagement</w:t>
      </w:r>
      <w:r>
        <w:t>: Access to networks, think tanks, and learning ecosystems.</w:t>
      </w:r>
    </w:p>
    <w:p w14:paraId="13D2036B" w14:textId="77777777" w:rsidR="00111D35" w:rsidRDefault="00111D35" w:rsidP="00111D35">
      <w:pPr>
        <w:pStyle w:val="NormalWeb"/>
      </w:pPr>
      <w:r>
        <w:t>A well-executed retirement plan becomes a platform for continued relevance—on the executive’s terms.</w:t>
      </w:r>
    </w:p>
    <w:p w14:paraId="1EB52871" w14:textId="39E1E6C4" w:rsidR="00DE4838" w:rsidRPr="00111D35" w:rsidRDefault="00DE4838" w:rsidP="00F23F7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</w:p>
    <w:p w14:paraId="52DA6A41" w14:textId="70FFC1A7" w:rsidR="009D14D6" w:rsidRPr="009D14D6" w:rsidRDefault="009D14D6" w:rsidP="009D14D6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D14D6">
        <w:rPr>
          <w:rFonts w:ascii="Times New Roman" w:eastAsia="Times New Roman" w:hAnsi="Times New Roman" w:cs="Times New Roman"/>
          <w:b/>
          <w:bCs/>
          <w:sz w:val="27"/>
          <w:szCs w:val="27"/>
        </w:rPr>
        <w:t>Conclusion: Elevating Executive Retirement to Its Full Potential</w:t>
      </w:r>
    </w:p>
    <w:p w14:paraId="01CE3711" w14:textId="77777777" w:rsidR="00111D35" w:rsidRPr="00111D35" w:rsidRDefault="00111D35" w:rsidP="00111D3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111D35">
        <w:rPr>
          <w:rFonts w:ascii="Times New Roman" w:eastAsia="Times New Roman" w:hAnsi="Times New Roman" w:cs="Times New Roman"/>
        </w:rPr>
        <w:t>This isn’t the end of a career. It’s the next stage of strategic influence. With a disciplined framework, executives can transition deliberately, maintain their intellectual edge, and build a legacy that lasts.</w:t>
      </w:r>
    </w:p>
    <w:p w14:paraId="38B02EDC" w14:textId="77777777" w:rsidR="00F23F74" w:rsidRDefault="00111D35" w:rsidP="00111D3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111D35">
        <w:rPr>
          <w:rFonts w:ascii="Times New Roman" w:eastAsia="Times New Roman" w:hAnsi="Times New Roman" w:cs="Times New Roman"/>
        </w:rPr>
        <w:t xml:space="preserve">The opportunity is not to slow down—but to redirect. Not to retire from something, but to retire </w:t>
      </w:r>
      <w:r w:rsidRPr="00111D35">
        <w:rPr>
          <w:rFonts w:ascii="Times New Roman" w:eastAsia="Times New Roman" w:hAnsi="Times New Roman" w:cs="Times New Roman"/>
          <w:i/>
          <w:iCs/>
        </w:rPr>
        <w:t>into</w:t>
      </w:r>
      <w:r w:rsidRPr="00111D35">
        <w:rPr>
          <w:rFonts w:ascii="Times New Roman" w:eastAsia="Times New Roman" w:hAnsi="Times New Roman" w:cs="Times New Roman"/>
        </w:rPr>
        <w:t xml:space="preserve"> something</w:t>
      </w:r>
      <w:r w:rsidR="00F23F74">
        <w:rPr>
          <w:rFonts w:ascii="Times New Roman" w:eastAsia="Times New Roman" w:hAnsi="Times New Roman" w:cs="Times New Roman"/>
        </w:rPr>
        <w:t>.</w:t>
      </w:r>
    </w:p>
    <w:p w14:paraId="4974CC81" w14:textId="3BB56353" w:rsidR="00111D35" w:rsidRPr="00111D35" w:rsidRDefault="00111D35" w:rsidP="00111D3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111D35">
        <w:rPr>
          <w:rFonts w:ascii="Times New Roman" w:eastAsia="Times New Roman" w:hAnsi="Times New Roman" w:cs="Times New Roman"/>
          <w:i/>
          <w:iCs/>
        </w:rPr>
        <w:t>This paper is intended as a strategic lens for executives preparing for transition. It reflects the level of precision, scope, and insight that leadership demands when designing what comes next.</w:t>
      </w:r>
    </w:p>
    <w:p w14:paraId="3FD9DEE6" w14:textId="77777777" w:rsidR="00111D35" w:rsidRPr="00111D35" w:rsidRDefault="00111D35" w:rsidP="00111D3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14:paraId="656AD200" w14:textId="77777777" w:rsidR="006834C3" w:rsidRPr="00FA2E43" w:rsidRDefault="006834C3" w:rsidP="00FA2E4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0"/>
          <w:szCs w:val="40"/>
        </w:rPr>
      </w:pPr>
    </w:p>
    <w:p w14:paraId="07AB9A6A" w14:textId="77777777" w:rsidR="00A05A26" w:rsidRDefault="00A05A26"/>
    <w:sectPr w:rsidR="00A05A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0A6B"/>
    <w:multiLevelType w:val="multilevel"/>
    <w:tmpl w:val="B67C3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17570"/>
    <w:multiLevelType w:val="multilevel"/>
    <w:tmpl w:val="4032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8643F9"/>
    <w:multiLevelType w:val="multilevel"/>
    <w:tmpl w:val="D3C2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7E155B"/>
    <w:multiLevelType w:val="multilevel"/>
    <w:tmpl w:val="E2880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FD2A5E"/>
    <w:multiLevelType w:val="multilevel"/>
    <w:tmpl w:val="30126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0204AC"/>
    <w:multiLevelType w:val="multilevel"/>
    <w:tmpl w:val="B384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D1DCB"/>
    <w:multiLevelType w:val="multilevel"/>
    <w:tmpl w:val="79E4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AC52DB"/>
    <w:multiLevelType w:val="multilevel"/>
    <w:tmpl w:val="CF98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10D1D"/>
    <w:multiLevelType w:val="multilevel"/>
    <w:tmpl w:val="92DC6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A12768"/>
    <w:multiLevelType w:val="multilevel"/>
    <w:tmpl w:val="E10A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6645A2"/>
    <w:multiLevelType w:val="multilevel"/>
    <w:tmpl w:val="34560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392F5F"/>
    <w:multiLevelType w:val="multilevel"/>
    <w:tmpl w:val="2724D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7B16A9"/>
    <w:multiLevelType w:val="multilevel"/>
    <w:tmpl w:val="1484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185867"/>
    <w:multiLevelType w:val="multilevel"/>
    <w:tmpl w:val="50DE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352108"/>
    <w:multiLevelType w:val="multilevel"/>
    <w:tmpl w:val="CB38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4A1B47"/>
    <w:multiLevelType w:val="multilevel"/>
    <w:tmpl w:val="33F48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DC36D1"/>
    <w:multiLevelType w:val="multilevel"/>
    <w:tmpl w:val="390C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AD50D8"/>
    <w:multiLevelType w:val="multilevel"/>
    <w:tmpl w:val="70E2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5"/>
  </w:num>
  <w:num w:numId="3">
    <w:abstractNumId w:val="2"/>
  </w:num>
  <w:num w:numId="4">
    <w:abstractNumId w:val="13"/>
  </w:num>
  <w:num w:numId="5">
    <w:abstractNumId w:val="16"/>
  </w:num>
  <w:num w:numId="6">
    <w:abstractNumId w:val="5"/>
  </w:num>
  <w:num w:numId="7">
    <w:abstractNumId w:val="0"/>
  </w:num>
  <w:num w:numId="8">
    <w:abstractNumId w:val="12"/>
  </w:num>
  <w:num w:numId="9">
    <w:abstractNumId w:val="1"/>
  </w:num>
  <w:num w:numId="10">
    <w:abstractNumId w:val="9"/>
  </w:num>
  <w:num w:numId="11">
    <w:abstractNumId w:val="7"/>
  </w:num>
  <w:num w:numId="12">
    <w:abstractNumId w:val="11"/>
  </w:num>
  <w:num w:numId="13">
    <w:abstractNumId w:val="6"/>
  </w:num>
  <w:num w:numId="14">
    <w:abstractNumId w:val="17"/>
  </w:num>
  <w:num w:numId="15">
    <w:abstractNumId w:val="3"/>
  </w:num>
  <w:num w:numId="16">
    <w:abstractNumId w:val="14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E43"/>
    <w:rsid w:val="000169D3"/>
    <w:rsid w:val="00111D35"/>
    <w:rsid w:val="001E2BCB"/>
    <w:rsid w:val="00224512"/>
    <w:rsid w:val="002D7133"/>
    <w:rsid w:val="00332E37"/>
    <w:rsid w:val="003B3C32"/>
    <w:rsid w:val="004B1BD0"/>
    <w:rsid w:val="00591AA5"/>
    <w:rsid w:val="005A0C43"/>
    <w:rsid w:val="005B719A"/>
    <w:rsid w:val="005E10CD"/>
    <w:rsid w:val="006834C3"/>
    <w:rsid w:val="006D5C2F"/>
    <w:rsid w:val="0098196C"/>
    <w:rsid w:val="009D14D6"/>
    <w:rsid w:val="00A05A26"/>
    <w:rsid w:val="00AB6657"/>
    <w:rsid w:val="00BD3C9A"/>
    <w:rsid w:val="00C9316D"/>
    <w:rsid w:val="00DE4838"/>
    <w:rsid w:val="00F23F74"/>
    <w:rsid w:val="00FA2E43"/>
    <w:rsid w:val="00FF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6DC57"/>
  <w15:chartTrackingRefBased/>
  <w15:docId w15:val="{BD619B40-45C1-204B-BB09-1C6DA4524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A2E4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FA2E4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A2E4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FA2E43"/>
    <w:rPr>
      <w:rFonts w:ascii="Times New Roman" w:eastAsia="Times New Roman" w:hAnsi="Times New Roman" w:cs="Times New Roman"/>
      <w:b/>
      <w:bCs/>
    </w:rPr>
  </w:style>
  <w:style w:type="character" w:styleId="Strong">
    <w:name w:val="Strong"/>
    <w:basedOn w:val="DefaultParagraphFont"/>
    <w:uiPriority w:val="22"/>
    <w:qFormat/>
    <w:rsid w:val="00FA2E43"/>
    <w:rPr>
      <w:b/>
      <w:bCs/>
    </w:rPr>
  </w:style>
  <w:style w:type="paragraph" w:styleId="NormalWeb">
    <w:name w:val="Normal (Web)"/>
    <w:basedOn w:val="Normal"/>
    <w:uiPriority w:val="99"/>
    <w:unhideWhenUsed/>
    <w:rsid w:val="00FA2E4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A0C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4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Weatherford</dc:creator>
  <cp:keywords/>
  <dc:description/>
  <cp:lastModifiedBy>Jake Weatherford</cp:lastModifiedBy>
  <cp:revision>6</cp:revision>
  <dcterms:created xsi:type="dcterms:W3CDTF">2025-07-02T15:45:00Z</dcterms:created>
  <dcterms:modified xsi:type="dcterms:W3CDTF">2025-07-08T14:34:00Z</dcterms:modified>
</cp:coreProperties>
</file>